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321B" w14:textId="77777777" w:rsidR="00E2578B" w:rsidRPr="00E2578B" w:rsidRDefault="00E2578B" w:rsidP="00E2578B">
      <w:pPr>
        <w:shd w:val="clear" w:color="auto" w:fill="FFFFFF"/>
        <w:spacing w:after="120" w:line="240" w:lineRule="auto"/>
        <w:outlineLvl w:val="3"/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E2578B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Descrizione</w:t>
      </w:r>
    </w:p>
    <w:p w14:paraId="570FFF9D" w14:textId="4730A2E6" w:rsidR="00E2578B" w:rsidRPr="00E2578B" w:rsidRDefault="00E2578B" w:rsidP="00E2578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E2578B">
        <w:rPr>
          <w:rFonts w:ascii="Titillium Web" w:eastAsia="Times New Roman" w:hAnsi="Titillium Web" w:cs="Times New Roman"/>
          <w:b/>
          <w:bCs/>
          <w:color w:val="000000"/>
          <w:kern w:val="0"/>
          <w:sz w:val="27"/>
          <w:szCs w:val="27"/>
          <w:u w:val="single"/>
          <w:lang w:eastAsia="it-IT"/>
          <w14:ligatures w14:val="none"/>
        </w:rPr>
        <w:t>Entro il mese di ottobre di ogni anno 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i cittadini residenti nel Comune di </w:t>
      </w:r>
      <w:r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Gagliano del Capo 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possono chiedere, con istanza indirizzata al Sindaco, di essere inseriti nell’albo delle persone idonee all’Ufficio di Presidente di</w:t>
      </w:r>
      <w:r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seggio elettorale, nella quale devono indicare la professione, arte o mestiere svolto e di possedere i requisiti di idoneità e che non rientrano nelle categorie indicate dall’articolo 38 del testo unico n.361 del 1957 e dall’articolo 23 del testo unico n.570 del 1960.</w:t>
      </w:r>
    </w:p>
    <w:p w14:paraId="1BCE00A8" w14:textId="21F92923" w:rsidR="00E2578B" w:rsidRPr="00E2578B" w:rsidRDefault="00E2578B" w:rsidP="00E2578B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E2578B">
        <w:rPr>
          <w:rFonts w:ascii="Titillium Web" w:eastAsia="Times New Roman" w:hAnsi="Titillium Web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Requisiti richiesti: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 xml:space="preserve">- essere iscritto nelle liste elettorali del Comune di </w:t>
      </w:r>
      <w:r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Gagliano del Capo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;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- essere in possesso almeno del diploma di scuola media superiore;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- </w:t>
      </w:r>
      <w:r w:rsidRPr="00E2578B">
        <w:rPr>
          <w:rFonts w:ascii="Titillium Web" w:eastAsia="Times New Roman" w:hAnsi="Titillium Web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aver svolto le funzioni di Segretario, Scrutatore o Vice Presidente in occasione di precedenti consultazioni elettorali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;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- di non trovarsi in nessuna delle condizioni previste dall’articolo 38 del DPR. 30 marzo 1957, n.361 (Testo Unico delle leggi elettorali) e dell’articolo 23 del DPR. 16.5.1970 n. 570 (Testo Unico delle leggi per la composizione e la elezione degli organi delle amministrazioni comunali), e cioè: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a) di non avere superato il settantesimo anno di età;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b) di non essere dipendente dei Ministeri dell’Interno, delle Poste e Telecomunicazioni e dei Trasporti;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c) di non essere in servizio nelle Forze Armate;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d) di non essere incaricato delle funzioni già di competenza dei medici provinciali, degli ufficiali sanitari e dei medici condotti;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e) di non essere segretario comunale né dipendente comunale addetto o comandato a prestare servizio presso l’Ufficio Elettorale comunale;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f) di non essere candidato alle elezioni per le quali si svolge la votazione.</w:t>
      </w:r>
    </w:p>
    <w:p w14:paraId="48FBDF9C" w14:textId="77777777" w:rsidR="00E2578B" w:rsidRPr="00E2578B" w:rsidRDefault="00E2578B" w:rsidP="00E2578B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Pervenute le istanze, l’Ufficiale Elettorale esprime il proprio parere e comunica i nominativi all’Ufficio Elettorale della Corte di Appello di Lecce per i provvedimenti di sua competenza.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Gli iscritti nell’albo che perdono i requisiti di elettori del comune vengono cancellati dall’albo delle persone idonee all’Ufficio di Presidente di seggio elettorale</w:t>
      </w:r>
    </w:p>
    <w:p w14:paraId="01BE2E74" w14:textId="77777777" w:rsidR="00E2578B" w:rsidRPr="00E2578B" w:rsidRDefault="00E2578B" w:rsidP="00E2578B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E2578B">
        <w:rPr>
          <w:rFonts w:ascii="Titillium Web" w:eastAsia="Times New Roman" w:hAnsi="Titillium Web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Riferimenti normativi: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E2578B">
        <w:rPr>
          <w:rFonts w:ascii="Titillium Web" w:eastAsia="Times New Roman" w:hAnsi="Titillium Web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LEGGE 21 marzo 1990, n. 53 - 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Misure urgenti atte a garantire maggiore efficienza al procedimento elettorale. </w:t>
      </w:r>
      <w:r w:rsidRPr="00E2578B">
        <w:rPr>
          <w:rFonts w:ascii="Titillium Web" w:eastAsia="Times New Roman" w:hAnsi="Titillium Web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  <w:t>(GU n.68 del 22-3-</w:t>
      </w:r>
      <w:proofErr w:type="gramStart"/>
      <w:r w:rsidRPr="00E2578B">
        <w:rPr>
          <w:rFonts w:ascii="Titillium Web" w:eastAsia="Times New Roman" w:hAnsi="Titillium Web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  <w:t>1990 )</w:t>
      </w:r>
      <w:proofErr w:type="gramEnd"/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lastRenderedPageBreak/>
        <w:t>Art. 38 del DPR. 30 marzo 1957, n.361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  <w:t>Art. 23 del DPR. 16.5.1970 n. 570</w:t>
      </w:r>
    </w:p>
    <w:p w14:paraId="630CE773" w14:textId="77777777" w:rsidR="00E2578B" w:rsidRDefault="00E2578B" w:rsidP="00E2578B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b/>
          <w:bCs/>
          <w:color w:val="0000FF"/>
          <w:kern w:val="0"/>
          <w:sz w:val="27"/>
          <w:szCs w:val="27"/>
          <w:u w:val="single"/>
          <w:lang w:eastAsia="it-IT"/>
          <w14:ligatures w14:val="none"/>
        </w:rPr>
      </w:pPr>
      <w:r w:rsidRPr="00E2578B">
        <w:rPr>
          <w:rFonts w:ascii="Titillium Web" w:eastAsia="Times New Roman" w:hAnsi="Titillium Web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Cosa fare</w:t>
      </w:r>
      <w:r w:rsidRPr="00E2578B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E2578B">
        <w:rPr>
          <w:rFonts w:ascii="Titillium Web" w:eastAsia="Times New Roman" w:hAnsi="Titillium Web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I cittadini interessati devono compilare e firmare apposita istanza (utilizzando il modulo predisposto dall’Ufficio comunale competente) e farla pervenire all’Ufficio Protocollo o spedirla per posta o per PEC a</w:t>
      </w:r>
    </w:p>
    <w:p w14:paraId="14AB9E98" w14:textId="6DDE7013" w:rsidR="004A2AFB" w:rsidRDefault="00E2578B">
      <w:r w:rsidRPr="00E2578B">
        <w:rPr>
          <w:rFonts w:ascii="Titillium Web" w:eastAsia="Times New Roman" w:hAnsi="Titillium Web" w:cs="Times New Roman"/>
          <w:b/>
          <w:bCs/>
          <w:color w:val="0000FF"/>
          <w:kern w:val="0"/>
          <w:sz w:val="27"/>
          <w:szCs w:val="27"/>
          <w:u w:val="single"/>
          <w:lang w:eastAsia="it-IT"/>
          <w14:ligatures w14:val="none"/>
        </w:rPr>
        <w:t>protocollo.gaglianodelcapo@pec.rupar.puglia.it.</w:t>
      </w:r>
    </w:p>
    <w:sectPr w:rsidR="004A2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C5"/>
    <w:rsid w:val="004A2AFB"/>
    <w:rsid w:val="00B9370F"/>
    <w:rsid w:val="00BB674F"/>
    <w:rsid w:val="00E2578B"/>
    <w:rsid w:val="00E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6BB6"/>
  <w15:chartTrackingRefBased/>
  <w15:docId w15:val="{91527C51-455A-4F27-99A8-521DF81C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Anagrafe - Comune di Gagliano del Capo</dc:creator>
  <cp:keywords/>
  <dc:description/>
  <cp:lastModifiedBy>Ufficio Anagrafe - Comune di Gagliano del Capo</cp:lastModifiedBy>
  <cp:revision>2</cp:revision>
  <dcterms:created xsi:type="dcterms:W3CDTF">2024-10-01T16:16:00Z</dcterms:created>
  <dcterms:modified xsi:type="dcterms:W3CDTF">2024-10-01T16:23:00Z</dcterms:modified>
</cp:coreProperties>
</file>